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1C650" w14:textId="2C64544F" w:rsidR="00BB78C8" w:rsidRPr="00BB78C8" w:rsidRDefault="00BB78C8" w:rsidP="00BB78C8">
      <w:pPr>
        <w:spacing w:line="259" w:lineRule="auto"/>
        <w:jc w:val="right"/>
        <w:rPr>
          <w:rFonts w:ascii="Calibri" w:eastAsia="Calibri" w:hAnsi="Calibri"/>
          <w:bCs/>
          <w:sz w:val="20"/>
          <w:szCs w:val="18"/>
          <w:lang w:eastAsia="en-US"/>
        </w:rPr>
      </w:pPr>
      <w:r w:rsidRPr="00BB78C8">
        <w:rPr>
          <w:rFonts w:ascii="Calibri" w:eastAsia="Calibri" w:hAnsi="Calibri"/>
          <w:bCs/>
          <w:sz w:val="20"/>
          <w:szCs w:val="18"/>
          <w:lang w:eastAsia="en-US"/>
        </w:rPr>
        <w:t xml:space="preserve">Załącznik nr </w:t>
      </w:r>
      <w:r>
        <w:rPr>
          <w:rFonts w:ascii="Calibri" w:eastAsia="Calibri" w:hAnsi="Calibri"/>
          <w:bCs/>
          <w:sz w:val="20"/>
          <w:szCs w:val="18"/>
          <w:lang w:eastAsia="en-US"/>
        </w:rPr>
        <w:t>3</w:t>
      </w:r>
      <w:r w:rsidRPr="00BB78C8">
        <w:rPr>
          <w:rFonts w:ascii="Calibri" w:eastAsia="Calibri" w:hAnsi="Calibri"/>
          <w:bCs/>
          <w:sz w:val="20"/>
          <w:szCs w:val="18"/>
          <w:lang w:eastAsia="en-US"/>
        </w:rPr>
        <w:t xml:space="preserve"> do Regulaminu wyboru projektów </w:t>
      </w:r>
    </w:p>
    <w:p w14:paraId="5821C37A" w14:textId="77777777" w:rsidR="00BB78C8" w:rsidRPr="00BB78C8" w:rsidRDefault="00BB78C8" w:rsidP="00BB78C8">
      <w:pPr>
        <w:spacing w:line="259" w:lineRule="auto"/>
        <w:jc w:val="right"/>
        <w:rPr>
          <w:rFonts w:ascii="Calibri" w:eastAsia="Calibri" w:hAnsi="Calibri"/>
          <w:bCs/>
          <w:sz w:val="20"/>
          <w:szCs w:val="18"/>
          <w:lang w:eastAsia="en-US"/>
        </w:rPr>
      </w:pPr>
      <w:r w:rsidRPr="00BB78C8">
        <w:rPr>
          <w:rFonts w:ascii="Calibri" w:eastAsia="Calibri" w:hAnsi="Calibri"/>
          <w:bCs/>
          <w:sz w:val="20"/>
          <w:szCs w:val="18"/>
          <w:lang w:eastAsia="en-US"/>
        </w:rPr>
        <w:t>w ramach naboru nr FEWM.03.01-IZ.00-002/24</w:t>
      </w:r>
    </w:p>
    <w:p w14:paraId="2255060D" w14:textId="77777777" w:rsidR="00BB78C8" w:rsidRPr="00BB78C8" w:rsidRDefault="00BB78C8" w:rsidP="00BB78C8">
      <w:pPr>
        <w:spacing w:line="259" w:lineRule="auto"/>
        <w:jc w:val="right"/>
        <w:rPr>
          <w:rFonts w:ascii="Calibri" w:eastAsia="Calibri" w:hAnsi="Calibri"/>
          <w:bCs/>
          <w:sz w:val="20"/>
          <w:szCs w:val="18"/>
          <w:lang w:eastAsia="en-US"/>
        </w:rPr>
      </w:pPr>
      <w:r w:rsidRPr="00BB78C8">
        <w:rPr>
          <w:rFonts w:ascii="Calibri" w:eastAsia="Calibri" w:hAnsi="Calibri"/>
          <w:bCs/>
          <w:sz w:val="20"/>
          <w:szCs w:val="18"/>
          <w:lang w:eastAsia="en-US"/>
        </w:rPr>
        <w:t xml:space="preserve"> 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BB78C8" w:rsidRDefault="00A90F3E" w:rsidP="00BB78C8">
      <w:pPr>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0BDC392A" w14:textId="77777777" w:rsidR="00301810" w:rsidRPr="00FA4F1D" w:rsidRDefault="00301810" w:rsidP="00FA4F1D">
            <w:pPr>
              <w:rPr>
                <w:sz w:val="18"/>
                <w:szCs w:val="18"/>
              </w:rPr>
            </w:pPr>
          </w:p>
          <w:p w14:paraId="45F6B688" w14:textId="77777777"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572033AD" w14:textId="77777777" w:rsidR="00FA4F1D" w:rsidRPr="00FA4F1D" w:rsidRDefault="00FA4F1D" w:rsidP="00FA4F1D">
            <w:pPr>
              <w:rPr>
                <w:sz w:val="18"/>
                <w:szCs w:val="18"/>
              </w:rPr>
            </w:pPr>
          </w:p>
          <w:p w14:paraId="7450EB2D" w14:textId="5F5B09EB"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11786807"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2463356A"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w:t>
            </w:r>
            <w:r w:rsidRPr="00FA4F1D">
              <w:rPr>
                <w:sz w:val="18"/>
                <w:szCs w:val="18"/>
              </w:rPr>
              <w:lastRenderedPageBreak/>
              <w:t>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na </w:t>
            </w:r>
            <w:r w:rsidR="00480F7F" w:rsidRPr="00750EE0">
              <w:rPr>
                <w:sz w:val="18"/>
                <w:szCs w:val="18"/>
              </w:rPr>
              <w:lastRenderedPageBreak/>
              <w:t>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w:t>
            </w:r>
            <w:r w:rsidRPr="00406AC8">
              <w:rPr>
                <w:sz w:val="18"/>
                <w:szCs w:val="18"/>
              </w:rPr>
              <w:lastRenderedPageBreak/>
              <w:t xml:space="preserve">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13002D37" w:rsidR="00480F7F" w:rsidRPr="00DF08AB" w:rsidRDefault="00CC575A" w:rsidP="00301705">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 xml:space="preserve">edług wzoru dostępnego na stronie </w:t>
            </w:r>
            <w:r w:rsidR="000761E5" w:rsidRPr="00DF08AB">
              <w:rPr>
                <w:sz w:val="18"/>
                <w:szCs w:val="18"/>
              </w:rPr>
              <w:t>UOKiK</w:t>
            </w:r>
            <w:r w:rsidR="003A45FF" w:rsidRPr="00DF08AB">
              <w:rPr>
                <w:sz w:val="18"/>
                <w:szCs w:val="18"/>
              </w:rPr>
              <w:t xml:space="preserve"> pod adresem:</w:t>
            </w:r>
          </w:p>
          <w:p w14:paraId="37F1445B" w14:textId="7D2B9FA0" w:rsidR="00856146" w:rsidRDefault="00C73503" w:rsidP="00301705">
            <w:pPr>
              <w:rPr>
                <w:sz w:val="18"/>
                <w:szCs w:val="18"/>
              </w:rPr>
            </w:pPr>
            <w:hyperlink r:id="rId10" w:history="1">
              <w:r w:rsidR="00277C6C" w:rsidRPr="00BE726E">
                <w:rPr>
                  <w:rStyle w:val="Hipercze"/>
                  <w:sz w:val="18"/>
                  <w:szCs w:val="18"/>
                </w:rPr>
                <w:t>https://uokik.gov.pl/wyjasnienia-wzory-oraz-pomocne-pliki</w:t>
              </w:r>
            </w:hyperlink>
          </w:p>
          <w:p w14:paraId="035B89BB" w14:textId="77777777" w:rsidR="00277C6C" w:rsidRPr="00DF08AB" w:rsidRDefault="00277C6C" w:rsidP="00301705">
            <w:pPr>
              <w:rPr>
                <w:sz w:val="18"/>
                <w:szCs w:val="18"/>
              </w:rPr>
            </w:pPr>
          </w:p>
          <w:p w14:paraId="29883CD9" w14:textId="0477D9C2" w:rsidR="00753DCD" w:rsidRDefault="00CC575A" w:rsidP="00301705">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dostępnego na stronie UOKiK pod adresem:</w:t>
            </w:r>
          </w:p>
          <w:p w14:paraId="4636E4AE" w14:textId="436D239A" w:rsidR="00CC575A" w:rsidRPr="00DF08AB" w:rsidRDefault="00C73503" w:rsidP="00301705">
            <w:pPr>
              <w:rPr>
                <w:sz w:val="18"/>
                <w:szCs w:val="18"/>
              </w:rPr>
            </w:pPr>
            <w:hyperlink r:id="rId11" w:history="1">
              <w:r w:rsidR="003C77EB" w:rsidRPr="00DF512F">
                <w:rPr>
                  <w:rStyle w:val="Hipercze"/>
                  <w:sz w:val="18"/>
                  <w:szCs w:val="18"/>
                </w:rPr>
                <w:t>https://uokik.gov.pl/nowe-zasady-pomocy-de-minimis</w:t>
              </w:r>
            </w:hyperlink>
            <w:r w:rsidR="003C77EB">
              <w:rPr>
                <w:sz w:val="18"/>
                <w:szCs w:val="18"/>
              </w:rPr>
              <w:t xml:space="preserve"> </w:t>
            </w: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 xml:space="preserve">Załącznik składany jest przez system WOD2021 i podpisany </w:t>
            </w:r>
            <w:r w:rsidRPr="00734D87">
              <w:rPr>
                <w:sz w:val="18"/>
                <w:szCs w:val="18"/>
              </w:rPr>
              <w:lastRenderedPageBreak/>
              <w:t>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lastRenderedPageBreak/>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 xml:space="preserve">W przypadku, gdy Wnioskodawca jest powiązany z innym podmiotem </w:t>
            </w:r>
            <w:r>
              <w:rPr>
                <w:sz w:val="18"/>
                <w:szCs w:val="18"/>
              </w:rPr>
              <w:lastRenderedPageBreak/>
              <w:t>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301705">
        <w:trPr>
          <w:trHeight w:val="2468"/>
        </w:trPr>
        <w:tc>
          <w:tcPr>
            <w:tcW w:w="567" w:type="dxa"/>
          </w:tcPr>
          <w:p w14:paraId="2FF8C968" w14:textId="4B258754" w:rsidR="00480F7F" w:rsidRPr="00E21B5A" w:rsidRDefault="00480F7F" w:rsidP="00301705">
            <w:pPr>
              <w:rPr>
                <w:sz w:val="18"/>
                <w:szCs w:val="18"/>
              </w:rPr>
            </w:pPr>
            <w:r w:rsidRPr="00E21B5A">
              <w:rPr>
                <w:sz w:val="18"/>
                <w:szCs w:val="18"/>
              </w:rPr>
              <w:lastRenderedPageBreak/>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9C58445"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 xml:space="preserve">Województwa – Marszałek Województwa wraz z Członkami Zarządu, lub </w:t>
            </w:r>
            <w:r w:rsidRPr="005B5DE6">
              <w:rPr>
                <w:sz w:val="18"/>
                <w:szCs w:val="18"/>
              </w:rPr>
              <w:lastRenderedPageBreak/>
              <w:t>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685EACDE" w14:textId="77777777" w:rsidR="009B47CD" w:rsidRDefault="0044357A" w:rsidP="00EF4CCE">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514B7997" w14:textId="0BD7943D" w:rsidR="003C7E85" w:rsidRPr="003C7E85" w:rsidRDefault="003C7E85" w:rsidP="003C7E85">
            <w:pPr>
              <w:pStyle w:val="Akapitzlist"/>
              <w:ind w:left="37"/>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29703458" w:rsidR="00E127F5" w:rsidRPr="005B5DE6" w:rsidRDefault="00FB4C73" w:rsidP="00301705">
            <w:pPr>
              <w:rPr>
                <w:sz w:val="18"/>
                <w:szCs w:val="18"/>
              </w:rPr>
            </w:pPr>
            <w:r>
              <w:rPr>
                <w:sz w:val="18"/>
                <w:szCs w:val="18"/>
              </w:rPr>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lastRenderedPageBreak/>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lastRenderedPageBreak/>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lastRenderedPageBreak/>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5094CF63" w:rsidR="002F5404" w:rsidRDefault="00CC575A" w:rsidP="002F5404">
            <w:pPr>
              <w:rPr>
                <w:sz w:val="18"/>
                <w:szCs w:val="18"/>
              </w:rPr>
            </w:pPr>
            <w:r>
              <w:rPr>
                <w:sz w:val="18"/>
                <w:szCs w:val="18"/>
              </w:rPr>
              <w:t xml:space="preserve">W przypadku pomocy </w:t>
            </w:r>
            <w:r w:rsidR="00940A1D">
              <w:rPr>
                <w:sz w:val="18"/>
                <w:szCs w:val="18"/>
              </w:rPr>
              <w:t xml:space="preserve">innej niż pomoc de </w:t>
            </w:r>
            <w:proofErr w:type="spellStart"/>
            <w:r w:rsidR="00940A1D">
              <w:rPr>
                <w:sz w:val="18"/>
                <w:szCs w:val="18"/>
              </w:rPr>
              <w:t>minimis</w:t>
            </w:r>
            <w:proofErr w:type="spellEnd"/>
            <w:r>
              <w:rPr>
                <w:sz w:val="18"/>
                <w:szCs w:val="18"/>
              </w:rPr>
              <w:t xml:space="preserve"> w</w:t>
            </w:r>
            <w:r w:rsidR="002F5404" w:rsidRPr="00464E57">
              <w:rPr>
                <w:sz w:val="18"/>
                <w:szCs w:val="18"/>
              </w:rPr>
              <w:t>edług wzor</w:t>
            </w:r>
            <w:r w:rsidR="002F5404">
              <w:rPr>
                <w:sz w:val="18"/>
                <w:szCs w:val="18"/>
              </w:rPr>
              <w:t xml:space="preserve">u </w:t>
            </w:r>
            <w:r w:rsidR="002F5404" w:rsidRPr="00856146">
              <w:rPr>
                <w:sz w:val="18"/>
                <w:szCs w:val="18"/>
              </w:rPr>
              <w:t>dostępnego na stronie UOKiK pod adresem:</w:t>
            </w:r>
          </w:p>
          <w:p w14:paraId="58D3FF47" w14:textId="2902D958" w:rsidR="00697E05" w:rsidRDefault="00C73503" w:rsidP="002F5404">
            <w:pPr>
              <w:rPr>
                <w:sz w:val="18"/>
                <w:szCs w:val="18"/>
              </w:rPr>
            </w:pPr>
            <w:hyperlink r:id="rId12" w:history="1">
              <w:r w:rsidR="00820BD3" w:rsidRPr="00BE726E">
                <w:rPr>
                  <w:rStyle w:val="Hipercze"/>
                  <w:sz w:val="18"/>
                  <w:szCs w:val="18"/>
                </w:rPr>
                <w:t>https://uokik.gov.pl/wyjasnienia-wzory-oraz-pomocne-pliki</w:t>
              </w:r>
            </w:hyperlink>
          </w:p>
          <w:p w14:paraId="7307F603" w14:textId="559396E2" w:rsidR="00820BD3" w:rsidRDefault="00820BD3" w:rsidP="002F5404">
            <w:pPr>
              <w:rPr>
                <w:sz w:val="18"/>
                <w:szCs w:val="18"/>
              </w:rPr>
            </w:pPr>
          </w:p>
          <w:p w14:paraId="79CD146A" w14:textId="77777777" w:rsidR="00CC575A" w:rsidRDefault="00CC575A" w:rsidP="00CC575A">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dostępnego na stronie UOKiK pod adresem:</w:t>
            </w:r>
          </w:p>
          <w:p w14:paraId="4B951B8C" w14:textId="27748DCF" w:rsidR="00CC575A" w:rsidRPr="00DF08AB" w:rsidRDefault="00C73503" w:rsidP="00CC575A">
            <w:pPr>
              <w:rPr>
                <w:sz w:val="18"/>
                <w:szCs w:val="18"/>
              </w:rPr>
            </w:pPr>
            <w:hyperlink r:id="rId13" w:history="1">
              <w:r w:rsidR="003C7E85" w:rsidRPr="00DF512F">
                <w:rPr>
                  <w:rStyle w:val="Hipercze"/>
                  <w:sz w:val="18"/>
                  <w:szCs w:val="18"/>
                </w:rPr>
                <w:t>https://uokik.gov.pl/nowe-zasady-pomocy-de-minimis</w:t>
              </w:r>
            </w:hyperlink>
            <w:r w:rsidR="003C7E85">
              <w:rPr>
                <w:sz w:val="18"/>
                <w:szCs w:val="18"/>
              </w:rPr>
              <w:t xml:space="preserve"> </w:t>
            </w:r>
          </w:p>
          <w:p w14:paraId="1A102E4E" w14:textId="77777777" w:rsidR="00CC575A" w:rsidRPr="00856146" w:rsidRDefault="00CC575A"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lastRenderedPageBreak/>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lastRenderedPageBreak/>
              <w:t xml:space="preserve">Załącznik składany jest przez system </w:t>
            </w:r>
            <w:r>
              <w:rPr>
                <w:sz w:val="18"/>
                <w:szCs w:val="18"/>
              </w:rPr>
              <w:t xml:space="preserve">SL2021. </w:t>
            </w:r>
            <w:r w:rsidR="00425A72">
              <w:rPr>
                <w:sz w:val="18"/>
                <w:szCs w:val="18"/>
              </w:rPr>
              <w:t xml:space="preserve">Podpisanie </w:t>
            </w:r>
            <w:r w:rsidR="00425A72">
              <w:rPr>
                <w:sz w:val="18"/>
                <w:szCs w:val="18"/>
              </w:rPr>
              <w:lastRenderedPageBreak/>
              <w:t>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lastRenderedPageBreak/>
              <w:t xml:space="preserve">Wnioskodawca zobligowany jest posiadać wyodrębniony rachunek dla projektu, na którym dokonywane są </w:t>
            </w:r>
            <w:r w:rsidRPr="00656245">
              <w:rPr>
                <w:rFonts w:cstheme="minorHAnsi"/>
                <w:sz w:val="18"/>
              </w:rPr>
              <w:lastRenderedPageBreak/>
              <w:t xml:space="preserve">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lastRenderedPageBreak/>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w:t>
            </w:r>
            <w:r w:rsidRPr="00746469">
              <w:rPr>
                <w:sz w:val="18"/>
                <w:szCs w:val="18"/>
              </w:rPr>
              <w:lastRenderedPageBreak/>
              <w:t>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lastRenderedPageBreak/>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w:t>
            </w:r>
            <w:r w:rsidRPr="00172D0A">
              <w:rPr>
                <w:sz w:val="18"/>
                <w:szCs w:val="18"/>
              </w:rPr>
              <w:lastRenderedPageBreak/>
              <w:t>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lastRenderedPageBreak/>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7BC65A94"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038DDCAD" w:rsidR="004B73EC" w:rsidRPr="001E467E" w:rsidRDefault="00FB4C73" w:rsidP="001E04AC">
            <w:pPr>
              <w:rPr>
                <w:color w:val="FF0000"/>
                <w:sz w:val="18"/>
                <w:szCs w:val="18"/>
              </w:rPr>
            </w:pPr>
            <w:r w:rsidRPr="00414AB6">
              <w:rPr>
                <w:sz w:val="18"/>
                <w:szCs w:val="18"/>
              </w:rPr>
              <w:lastRenderedPageBreak/>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t>
            </w:r>
            <w:r w:rsidRPr="005B5DE6">
              <w:rPr>
                <w:sz w:val="18"/>
                <w:szCs w:val="18"/>
              </w:rPr>
              <w:lastRenderedPageBreak/>
              <w:t xml:space="preserve">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74578487" w:rsidR="000870EF" w:rsidRPr="005B5DE6" w:rsidRDefault="00FB4C73" w:rsidP="000870EF">
            <w:pPr>
              <w:rPr>
                <w:sz w:val="18"/>
                <w:szCs w:val="18"/>
              </w:rPr>
            </w:pPr>
            <w:r w:rsidRPr="005B5DE6">
              <w:rPr>
                <w:sz w:val="18"/>
                <w:szCs w:val="18"/>
              </w:rPr>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5C842B46"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197F72BC" w14:textId="09730585" w:rsidR="00BA757F" w:rsidRDefault="00BA757F" w:rsidP="00A60636">
      <w:pPr>
        <w:rPr>
          <w:rFonts w:ascii="Arial" w:hAnsi="Arial" w:cs="Arial"/>
          <w:b/>
          <w:bCs/>
          <w:kern w:val="28"/>
          <w:sz w:val="32"/>
          <w:szCs w:val="32"/>
        </w:rPr>
      </w:pPr>
    </w:p>
    <w:p w14:paraId="1CA7877A" w14:textId="620503B9" w:rsidR="00BA757F" w:rsidRDefault="00BA757F" w:rsidP="00A60636">
      <w:pPr>
        <w:rPr>
          <w:rFonts w:ascii="Arial" w:hAnsi="Arial" w:cs="Arial"/>
          <w:b/>
          <w:bCs/>
          <w:kern w:val="28"/>
          <w:sz w:val="32"/>
          <w:szCs w:val="32"/>
        </w:rPr>
      </w:pPr>
    </w:p>
    <w:p w14:paraId="756CB715" w14:textId="66B88987" w:rsidR="00BA757F" w:rsidRDefault="00BA757F" w:rsidP="00A60636">
      <w:pPr>
        <w:rPr>
          <w:rFonts w:ascii="Arial" w:hAnsi="Arial" w:cs="Arial"/>
          <w:b/>
          <w:bCs/>
          <w:kern w:val="28"/>
          <w:sz w:val="32"/>
          <w:szCs w:val="32"/>
        </w:rPr>
      </w:pPr>
    </w:p>
    <w:p w14:paraId="5080E545" w14:textId="7BE8711D" w:rsidR="00BA757F" w:rsidRDefault="00BA757F" w:rsidP="00A60636">
      <w:pPr>
        <w:rPr>
          <w:rFonts w:ascii="Arial" w:hAnsi="Arial" w:cs="Arial"/>
          <w:b/>
          <w:bCs/>
          <w:kern w:val="28"/>
          <w:sz w:val="32"/>
          <w:szCs w:val="32"/>
        </w:rPr>
      </w:pPr>
    </w:p>
    <w:p w14:paraId="1F4858B4" w14:textId="6E0C9B9B" w:rsidR="00BA757F" w:rsidRDefault="00BA757F" w:rsidP="00A60636">
      <w:pPr>
        <w:rPr>
          <w:rFonts w:ascii="Arial" w:hAnsi="Arial" w:cs="Arial"/>
          <w:b/>
          <w:bCs/>
          <w:kern w:val="28"/>
          <w:sz w:val="32"/>
          <w:szCs w:val="32"/>
        </w:rPr>
      </w:pPr>
    </w:p>
    <w:p w14:paraId="74BA7D12" w14:textId="1F068B43" w:rsidR="00FA4F1D" w:rsidRDefault="00FA4F1D" w:rsidP="00A60636">
      <w:pPr>
        <w:rPr>
          <w:rFonts w:ascii="Arial" w:hAnsi="Arial" w:cs="Arial"/>
          <w:b/>
          <w:bCs/>
          <w:kern w:val="28"/>
          <w:sz w:val="32"/>
          <w:szCs w:val="32"/>
        </w:rPr>
      </w:pPr>
    </w:p>
    <w:p w14:paraId="59195A7C" w14:textId="3CB13C63" w:rsidR="00FA4F1D" w:rsidRDefault="00FA4F1D" w:rsidP="00A60636">
      <w:pPr>
        <w:rPr>
          <w:rFonts w:ascii="Arial" w:hAnsi="Arial" w:cs="Arial"/>
          <w:b/>
          <w:bCs/>
          <w:kern w:val="28"/>
          <w:sz w:val="32"/>
          <w:szCs w:val="32"/>
        </w:rPr>
      </w:pPr>
    </w:p>
    <w:p w14:paraId="5702DC3D" w14:textId="3D7100F6" w:rsidR="00A60636" w:rsidRPr="007C0491" w:rsidRDefault="00FA4F1D"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C73503" w:rsidP="00A60636">
      <w:pPr>
        <w:keepNext/>
        <w:tabs>
          <w:tab w:val="left" w:pos="850"/>
        </w:tabs>
        <w:outlineLvl w:val="2"/>
        <w:rPr>
          <w:rFonts w:ascii="Arial" w:hAnsi="Arial" w:cs="Arial"/>
          <w:b/>
          <w:sz w:val="20"/>
        </w:rPr>
      </w:pPr>
      <w:hyperlink r:id="rId14"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73503">
        <w:rPr>
          <w:rFonts w:ascii="Arial" w:hAnsi="Arial" w:cs="Arial"/>
        </w:rPr>
      </w:r>
      <w:r w:rsidR="00C73503">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C73503">
        <w:rPr>
          <w:rFonts w:ascii="Arial" w:eastAsia="TimesNewRoman" w:hAnsi="Arial" w:cs="Arial"/>
          <w:sz w:val="22"/>
          <w:szCs w:val="22"/>
        </w:rPr>
      </w:r>
      <w:r w:rsidR="00C7350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C73503">
        <w:rPr>
          <w:rFonts w:ascii="Arial" w:eastAsia="TimesNewRoman" w:hAnsi="Arial" w:cs="Arial"/>
          <w:sz w:val="22"/>
          <w:szCs w:val="22"/>
        </w:rPr>
      </w:r>
      <w:r w:rsidR="00C7350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C73503">
        <w:rPr>
          <w:rFonts w:ascii="Arial" w:eastAsia="TimesNewRoman" w:hAnsi="Arial" w:cs="Arial"/>
          <w:sz w:val="22"/>
          <w:szCs w:val="22"/>
        </w:rPr>
      </w:r>
      <w:r w:rsidR="00C7350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2AB972F" w14:textId="333EB123" w:rsidR="00390D98"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071E6868" w:rsidR="006D6A6B" w:rsidRDefault="006D6A6B" w:rsidP="00303E3C">
      <w:pPr>
        <w:tabs>
          <w:tab w:val="left" w:pos="2700"/>
        </w:tabs>
        <w:jc w:val="center"/>
        <w:rPr>
          <w:rFonts w:ascii="Arial" w:hAnsi="Arial" w:cs="Arial"/>
          <w:b/>
          <w:sz w:val="20"/>
          <w:szCs w:val="20"/>
        </w:rPr>
      </w:pPr>
    </w:p>
    <w:p w14:paraId="34980558" w14:textId="77777777" w:rsidR="003C7E85" w:rsidRDefault="003C7E85"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73503">
        <w:rPr>
          <w:rFonts w:ascii="Arial" w:eastAsia="TimesNewRoman" w:hAnsi="Arial" w:cs="Arial"/>
          <w:sz w:val="22"/>
          <w:szCs w:val="22"/>
        </w:rPr>
      </w:r>
      <w:r w:rsidR="00C7350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73503">
        <w:rPr>
          <w:rFonts w:ascii="Arial" w:eastAsia="TimesNewRoman" w:hAnsi="Arial" w:cs="Arial"/>
          <w:sz w:val="22"/>
          <w:szCs w:val="22"/>
        </w:rPr>
      </w:r>
      <w:r w:rsidR="00C7350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73503">
        <w:rPr>
          <w:rFonts w:ascii="Arial" w:eastAsia="TimesNewRoman" w:hAnsi="Arial" w:cs="Arial"/>
          <w:sz w:val="22"/>
          <w:szCs w:val="22"/>
        </w:rPr>
      </w:r>
      <w:r w:rsidR="00C7350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73503">
        <w:rPr>
          <w:rFonts w:ascii="Arial" w:eastAsia="TimesNewRoman" w:hAnsi="Arial" w:cs="Arial"/>
          <w:sz w:val="22"/>
          <w:szCs w:val="22"/>
        </w:rPr>
      </w:r>
      <w:r w:rsidR="00C7350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73503">
        <w:rPr>
          <w:rFonts w:ascii="Arial" w:eastAsia="TimesNewRoman" w:hAnsi="Arial" w:cs="Arial"/>
          <w:sz w:val="22"/>
          <w:szCs w:val="22"/>
        </w:rPr>
      </w:r>
      <w:r w:rsidR="00C7350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73503">
        <w:rPr>
          <w:rFonts w:ascii="Arial" w:eastAsia="TimesNewRoman" w:hAnsi="Arial" w:cs="Arial"/>
          <w:sz w:val="22"/>
          <w:szCs w:val="22"/>
        </w:rPr>
      </w:r>
      <w:r w:rsidR="00C7350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3"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3"/>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7"/>
      <w:footerReference w:type="default" r:id="rId18"/>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F423B" w14:textId="77777777" w:rsidR="00C73503" w:rsidRDefault="00C73503">
      <w:r>
        <w:separator/>
      </w:r>
    </w:p>
  </w:endnote>
  <w:endnote w:type="continuationSeparator" w:id="0">
    <w:p w14:paraId="2DFCE11D" w14:textId="77777777" w:rsidR="00C73503" w:rsidRDefault="00C73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364ED" w:rsidRDefault="00F364E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364ED" w:rsidRDefault="00F364E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Calibri" w:hAnsi="Calibri" w:cs="Calibri"/>
      </w:rPr>
    </w:sdtEndPr>
    <w:sdtContent>
      <w:p w14:paraId="31D53A60" w14:textId="633F77F5" w:rsidR="00F364ED" w:rsidRPr="00BB78C8" w:rsidRDefault="00F364ED">
        <w:pPr>
          <w:pStyle w:val="Stopka"/>
          <w:jc w:val="right"/>
          <w:rPr>
            <w:rFonts w:ascii="Calibri" w:hAnsi="Calibri" w:cs="Calibri"/>
          </w:rPr>
        </w:pPr>
        <w:r w:rsidRPr="00BB78C8">
          <w:rPr>
            <w:rFonts w:ascii="Calibri" w:hAnsi="Calibri" w:cs="Calibri"/>
          </w:rPr>
          <w:fldChar w:fldCharType="begin"/>
        </w:r>
        <w:r w:rsidRPr="00BB78C8">
          <w:rPr>
            <w:rFonts w:ascii="Calibri" w:hAnsi="Calibri" w:cs="Calibri"/>
          </w:rPr>
          <w:instrText>PAGE   \* MERGEFORMAT</w:instrText>
        </w:r>
        <w:r w:rsidRPr="00BB78C8">
          <w:rPr>
            <w:rFonts w:ascii="Calibri" w:hAnsi="Calibri" w:cs="Calibri"/>
          </w:rPr>
          <w:fldChar w:fldCharType="separate"/>
        </w:r>
        <w:r w:rsidR="00853163" w:rsidRPr="00BB78C8">
          <w:rPr>
            <w:rFonts w:ascii="Calibri" w:hAnsi="Calibri" w:cs="Calibri"/>
            <w:noProof/>
          </w:rPr>
          <w:t>24</w:t>
        </w:r>
        <w:r w:rsidRPr="00BB78C8">
          <w:rPr>
            <w:rFonts w:ascii="Calibri" w:hAnsi="Calibri" w:cs="Calibri"/>
          </w:rPr>
          <w:fldChar w:fldCharType="end"/>
        </w:r>
      </w:p>
    </w:sdtContent>
  </w:sdt>
  <w:p w14:paraId="4A9C8693" w14:textId="77777777" w:rsidR="00F364ED" w:rsidRDefault="00F364E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3C32C" w14:textId="77777777" w:rsidR="00C73503" w:rsidRDefault="00C73503">
      <w:r>
        <w:separator/>
      </w:r>
    </w:p>
  </w:footnote>
  <w:footnote w:type="continuationSeparator" w:id="0">
    <w:p w14:paraId="75D016C5" w14:textId="77777777" w:rsidR="00C73503" w:rsidRDefault="00C73503">
      <w:r>
        <w:continuationSeparator/>
      </w:r>
    </w:p>
  </w:footnote>
  <w:footnote w:id="1">
    <w:p w14:paraId="023F239A" w14:textId="77777777" w:rsidR="00F364ED" w:rsidRDefault="00F364ED"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364ED" w:rsidRPr="009C5AB2" w:rsidRDefault="00F364ED"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364ED" w:rsidRPr="009C5AB2" w:rsidRDefault="00F364ED"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364ED" w:rsidRPr="009C5AB2" w:rsidRDefault="00F364ED"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364ED" w:rsidRPr="00F364ED" w:rsidRDefault="00F364ED">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364ED" w:rsidRPr="003905FD" w:rsidRDefault="00F364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364ED" w:rsidRPr="003905FD" w:rsidRDefault="00F364ED"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364ED" w:rsidRPr="003905FD" w:rsidRDefault="00F364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F364ED" w:rsidRDefault="00F364ED"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364ED" w:rsidRPr="005851A5" w:rsidRDefault="00F364ED"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364ED" w:rsidRPr="007D5E71" w:rsidRDefault="00F364ED"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364ED" w:rsidRPr="00B21CF9" w:rsidRDefault="00F364ED"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364ED" w:rsidRPr="00470455" w:rsidRDefault="00F364ED"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4"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7"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2"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3"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9"/>
  </w:num>
  <w:num w:numId="4">
    <w:abstractNumId w:val="92"/>
  </w:num>
  <w:num w:numId="5">
    <w:abstractNumId w:val="42"/>
  </w:num>
  <w:num w:numId="6">
    <w:abstractNumId w:val="81"/>
  </w:num>
  <w:num w:numId="7">
    <w:abstractNumId w:val="36"/>
  </w:num>
  <w:num w:numId="8">
    <w:abstractNumId w:val="78"/>
  </w:num>
  <w:num w:numId="9">
    <w:abstractNumId w:val="61"/>
  </w:num>
  <w:num w:numId="10">
    <w:abstractNumId w:val="15"/>
  </w:num>
  <w:num w:numId="11">
    <w:abstractNumId w:val="69"/>
  </w:num>
  <w:num w:numId="12">
    <w:abstractNumId w:val="17"/>
  </w:num>
  <w:num w:numId="13">
    <w:abstractNumId w:val="18"/>
  </w:num>
  <w:num w:numId="14">
    <w:abstractNumId w:val="55"/>
  </w:num>
  <w:num w:numId="15">
    <w:abstractNumId w:val="39"/>
  </w:num>
  <w:num w:numId="16">
    <w:abstractNumId w:val="9"/>
  </w:num>
  <w:num w:numId="17">
    <w:abstractNumId w:val="57"/>
  </w:num>
  <w:num w:numId="18">
    <w:abstractNumId w:val="26"/>
  </w:num>
  <w:num w:numId="19">
    <w:abstractNumId w:val="91"/>
  </w:num>
  <w:num w:numId="20">
    <w:abstractNumId w:val="85"/>
  </w:num>
  <w:num w:numId="21">
    <w:abstractNumId w:val="56"/>
  </w:num>
  <w:num w:numId="22">
    <w:abstractNumId w:val="60"/>
  </w:num>
  <w:num w:numId="23">
    <w:abstractNumId w:val="71"/>
  </w:num>
  <w:num w:numId="24">
    <w:abstractNumId w:val="95"/>
  </w:num>
  <w:num w:numId="25">
    <w:abstractNumId w:val="65"/>
  </w:num>
  <w:num w:numId="26">
    <w:abstractNumId w:val="73"/>
  </w:num>
  <w:num w:numId="27">
    <w:abstractNumId w:val="40"/>
  </w:num>
  <w:num w:numId="28">
    <w:abstractNumId w:val="44"/>
  </w:num>
  <w:num w:numId="29">
    <w:abstractNumId w:val="20"/>
  </w:num>
  <w:num w:numId="30">
    <w:abstractNumId w:val="51"/>
  </w:num>
  <w:num w:numId="31">
    <w:abstractNumId w:val="103"/>
  </w:num>
  <w:num w:numId="32">
    <w:abstractNumId w:val="41"/>
  </w:num>
  <w:num w:numId="33">
    <w:abstractNumId w:val="19"/>
  </w:num>
  <w:num w:numId="34">
    <w:abstractNumId w:val="24"/>
  </w:num>
  <w:num w:numId="35">
    <w:abstractNumId w:val="43"/>
  </w:num>
  <w:num w:numId="36">
    <w:abstractNumId w:val="54"/>
  </w:num>
  <w:num w:numId="37">
    <w:abstractNumId w:val="62"/>
  </w:num>
  <w:num w:numId="38">
    <w:abstractNumId w:val="13"/>
  </w:num>
  <w:num w:numId="39">
    <w:abstractNumId w:val="16"/>
  </w:num>
  <w:num w:numId="40">
    <w:abstractNumId w:val="100"/>
  </w:num>
  <w:num w:numId="41">
    <w:abstractNumId w:val="27"/>
  </w:num>
  <w:num w:numId="42">
    <w:abstractNumId w:val="38"/>
  </w:num>
  <w:num w:numId="43">
    <w:abstractNumId w:val="88"/>
  </w:num>
  <w:num w:numId="44">
    <w:abstractNumId w:val="5"/>
  </w:num>
  <w:num w:numId="45">
    <w:abstractNumId w:val="7"/>
  </w:num>
  <w:num w:numId="46">
    <w:abstractNumId w:val="58"/>
  </w:num>
  <w:num w:numId="47">
    <w:abstractNumId w:val="76"/>
  </w:num>
  <w:num w:numId="48">
    <w:abstractNumId w:val="63"/>
  </w:num>
  <w:num w:numId="49">
    <w:abstractNumId w:val="93"/>
  </w:num>
  <w:num w:numId="50">
    <w:abstractNumId w:val="46"/>
  </w:num>
  <w:num w:numId="51">
    <w:abstractNumId w:val="80"/>
  </w:num>
  <w:num w:numId="52">
    <w:abstractNumId w:val="70"/>
  </w:num>
  <w:num w:numId="53">
    <w:abstractNumId w:val="96"/>
  </w:num>
  <w:num w:numId="54">
    <w:abstractNumId w:val="102"/>
  </w:num>
  <w:num w:numId="55">
    <w:abstractNumId w:val="98"/>
  </w:num>
  <w:num w:numId="56">
    <w:abstractNumId w:val="28"/>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5"/>
    <w:lvlOverride w:ilvl="0">
      <w:startOverride w:val="1"/>
    </w:lvlOverride>
  </w:num>
  <w:num w:numId="65">
    <w:abstractNumId w:val="86"/>
  </w:num>
  <w:num w:numId="66">
    <w:abstractNumId w:val="34"/>
  </w:num>
  <w:num w:numId="67">
    <w:abstractNumId w:val="49"/>
  </w:num>
  <w:num w:numId="68">
    <w:abstractNumId w:val="25"/>
  </w:num>
  <w:num w:numId="69">
    <w:abstractNumId w:val="72"/>
  </w:num>
  <w:num w:numId="70">
    <w:abstractNumId w:val="74"/>
  </w:num>
  <w:num w:numId="71">
    <w:abstractNumId w:val="32"/>
  </w:num>
  <w:num w:numId="72">
    <w:abstractNumId w:val="67"/>
  </w:num>
  <w:num w:numId="73">
    <w:abstractNumId w:val="101"/>
  </w:num>
  <w:num w:numId="74">
    <w:abstractNumId w:val="66"/>
  </w:num>
  <w:num w:numId="75">
    <w:abstractNumId w:val="23"/>
  </w:num>
  <w:num w:numId="76">
    <w:abstractNumId w:val="68"/>
  </w:num>
  <w:num w:numId="77">
    <w:abstractNumId w:val="31"/>
  </w:num>
  <w:num w:numId="78">
    <w:abstractNumId w:val="90"/>
  </w:num>
  <w:num w:numId="79">
    <w:abstractNumId w:val="99"/>
  </w:num>
  <w:num w:numId="80">
    <w:abstractNumId w:val="79"/>
  </w:num>
  <w:num w:numId="81">
    <w:abstractNumId w:val="64"/>
  </w:num>
  <w:num w:numId="82">
    <w:abstractNumId w:val="53"/>
  </w:num>
  <w:num w:numId="83">
    <w:abstractNumId w:val="30"/>
  </w:num>
  <w:num w:numId="84">
    <w:abstractNumId w:val="35"/>
  </w:num>
  <w:num w:numId="85">
    <w:abstractNumId w:val="84"/>
  </w:num>
  <w:num w:numId="86">
    <w:abstractNumId w:val="59"/>
  </w:num>
  <w:num w:numId="87">
    <w:abstractNumId w:val="33"/>
  </w:num>
  <w:num w:numId="88">
    <w:abstractNumId w:val="50"/>
  </w:num>
  <w:num w:numId="89">
    <w:abstractNumId w:val="37"/>
  </w:num>
  <w:num w:numId="90">
    <w:abstractNumId w:val="87"/>
  </w:num>
  <w:num w:numId="91">
    <w:abstractNumId w:val="29"/>
  </w:num>
  <w:num w:numId="92">
    <w:abstractNumId w:val="45"/>
  </w:num>
  <w:num w:numId="93">
    <w:abstractNumId w:val="14"/>
  </w:num>
  <w:num w:numId="94">
    <w:abstractNumId w:val="97"/>
  </w:num>
  <w:num w:numId="95">
    <w:abstractNumId w:val="10"/>
  </w:num>
  <w:num w:numId="96">
    <w:abstractNumId w:val="4"/>
  </w:num>
  <w:num w:numId="97">
    <w:abstractNumId w:val="83"/>
  </w:num>
  <w:num w:numId="98">
    <w:abstractNumId w:val="11"/>
  </w:num>
  <w:num w:numId="99">
    <w:abstractNumId w:val="47"/>
  </w:num>
  <w:num w:numId="100">
    <w:abstractNumId w:val="8"/>
  </w:num>
  <w:num w:numId="101">
    <w:abstractNumId w:val="22"/>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1DB"/>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6421"/>
    <w:rsid w:val="0028648D"/>
    <w:rsid w:val="0028648F"/>
    <w:rsid w:val="0028708F"/>
    <w:rsid w:val="002878B8"/>
    <w:rsid w:val="002879CD"/>
    <w:rsid w:val="00287A18"/>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7EB"/>
    <w:rsid w:val="003C7E85"/>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483F"/>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7A5"/>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B78C8"/>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503"/>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4C73"/>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okik.gov.pl/nowe-zasady-pomocy-de-minimis"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wyjasnienia-wzory-oraz-pomocne-plik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nowe-zasady-pomocy-de-minimis"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uokik.gov.pl/wyjasnienia-wzory-oraz-pomocne-plik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hyperlink" Target="https://funduszeeuropejskie.warmia.mazury.pl/artykul/225/ocena-zgodnosci-projektu-programu-fewim-z-zasada-dn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41B5F-E0F2-4DE7-AF35-FFFD7D3CC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40</Pages>
  <Words>13608</Words>
  <Characters>81654</Characters>
  <Application>Microsoft Office Word</Application>
  <DocSecurity>0</DocSecurity>
  <Lines>680</Lines>
  <Paragraphs>190</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Michalina Czarkowska</cp:lastModifiedBy>
  <cp:revision>6</cp:revision>
  <cp:lastPrinted>2024-08-16T06:36:00Z</cp:lastPrinted>
  <dcterms:created xsi:type="dcterms:W3CDTF">2024-08-13T07:35:00Z</dcterms:created>
  <dcterms:modified xsi:type="dcterms:W3CDTF">2024-08-16T06:36:00Z</dcterms:modified>
</cp:coreProperties>
</file>